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547B16F8" w:rsidR="008D0F19" w:rsidRPr="00813385" w:rsidRDefault="006825BA">
      <w:pPr>
        <w:jc w:val="both"/>
        <w:rPr>
          <w:b/>
          <w:bCs/>
          <w:color w:val="000000"/>
        </w:rPr>
      </w:pPr>
      <w:r w:rsidRPr="00813385">
        <w:rPr>
          <w:b/>
          <w:bCs/>
          <w:color w:val="000000"/>
        </w:rPr>
        <w:t>Znak sprawy:I-</w:t>
      </w:r>
      <w:r w:rsidRPr="00813385">
        <w:rPr>
          <w:b/>
          <w:color w:val="000000"/>
        </w:rPr>
        <w:t>ZP.271.</w:t>
      </w:r>
      <w:r w:rsidR="00283F13">
        <w:rPr>
          <w:b/>
          <w:color w:val="000000"/>
        </w:rPr>
        <w:t>2</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17A4531D" w:rsidR="00CE248F" w:rsidRPr="00813385"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EF2814">
        <w:rPr>
          <w:rFonts w:ascii="Times New Roman" w:hAnsi="Times New Roman"/>
          <w:color w:val="000000" w:themeColor="text1"/>
          <w:sz w:val="24"/>
          <w:szCs w:val="24"/>
        </w:rPr>
        <w:t>dnia</w:t>
      </w:r>
      <w:r w:rsidR="00991B87" w:rsidRPr="00EF2814">
        <w:rPr>
          <w:rFonts w:ascii="Times New Roman" w:hAnsi="Times New Roman"/>
          <w:color w:val="000000" w:themeColor="text1"/>
          <w:sz w:val="24"/>
          <w:szCs w:val="24"/>
        </w:rPr>
        <w:t xml:space="preserve"> </w:t>
      </w:r>
      <w:r w:rsidR="00062E86">
        <w:rPr>
          <w:rFonts w:ascii="Times New Roman" w:hAnsi="Times New Roman"/>
          <w:color w:val="FF0000"/>
          <w:sz w:val="24"/>
          <w:szCs w:val="24"/>
        </w:rPr>
        <w:t>8</w:t>
      </w:r>
      <w:r w:rsidR="006825BA" w:rsidRPr="00321C43">
        <w:rPr>
          <w:rFonts w:ascii="Times New Roman" w:hAnsi="Times New Roman"/>
          <w:color w:val="FF0000"/>
          <w:sz w:val="24"/>
          <w:szCs w:val="24"/>
        </w:rPr>
        <w:t>.</w:t>
      </w:r>
      <w:r w:rsidR="00283F13" w:rsidRPr="00321C43">
        <w:rPr>
          <w:rFonts w:ascii="Times New Roman" w:hAnsi="Times New Roman"/>
          <w:color w:val="FF0000"/>
          <w:sz w:val="24"/>
          <w:szCs w:val="24"/>
        </w:rPr>
        <w:t>0</w:t>
      </w:r>
      <w:r w:rsidR="007B1BAE">
        <w:rPr>
          <w:rFonts w:ascii="Times New Roman" w:hAnsi="Times New Roman"/>
          <w:color w:val="FF0000"/>
          <w:sz w:val="24"/>
          <w:szCs w:val="24"/>
        </w:rPr>
        <w:t>4</w:t>
      </w:r>
      <w:r w:rsidR="006825BA" w:rsidRPr="00321C43">
        <w:rPr>
          <w:rFonts w:ascii="Times New Roman" w:hAnsi="Times New Roman"/>
          <w:color w:val="FF0000"/>
          <w:sz w:val="24"/>
          <w:szCs w:val="24"/>
        </w:rPr>
        <w:t>.202</w:t>
      </w:r>
      <w:r w:rsidR="00283F13" w:rsidRPr="00321C43">
        <w:rPr>
          <w:rFonts w:ascii="Times New Roman" w:hAnsi="Times New Roman"/>
          <w:color w:val="FF0000"/>
          <w:sz w:val="24"/>
          <w:szCs w:val="24"/>
        </w:rPr>
        <w:t>5</w:t>
      </w:r>
      <w:r w:rsidR="006825BA" w:rsidRPr="00321C43">
        <w:rPr>
          <w:rFonts w:ascii="Times New Roman" w:hAnsi="Times New Roman"/>
          <w:color w:val="FF0000"/>
          <w:sz w:val="24"/>
          <w:szCs w:val="24"/>
        </w:rPr>
        <w:t xml:space="preserve"> r.</w:t>
      </w:r>
      <w:r w:rsidR="00321C43" w:rsidRPr="00321C43">
        <w:rPr>
          <w:rFonts w:ascii="Times New Roman" w:hAnsi="Times New Roman"/>
          <w:color w:val="FF0000"/>
          <w:sz w:val="24"/>
          <w:szCs w:val="24"/>
        </w:rPr>
        <w:t xml:space="preserve"> po zmianach</w:t>
      </w:r>
      <w:r w:rsidR="00C71DE9" w:rsidRPr="00321C43">
        <w:rPr>
          <w:rFonts w:ascii="Times New Roman" w:hAnsi="Times New Roman"/>
          <w:color w:val="FF0000"/>
          <w:sz w:val="24"/>
          <w:szCs w:val="24"/>
        </w:rPr>
        <w:t xml:space="preserve"> </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3E900B3B"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BB37DA" w:rsidRPr="00E14687">
        <w:rPr>
          <w:rFonts w:eastAsia="Arial"/>
          <w:b/>
          <w:color w:val="000000" w:themeColor="text1"/>
        </w:rPr>
        <w:t xml:space="preserve"> </w:t>
      </w:r>
      <w:r w:rsidR="001464F7" w:rsidRPr="00E14687">
        <w:rPr>
          <w:rFonts w:eastAsia="Arial"/>
          <w:b/>
          <w:color w:val="000000" w:themeColor="text1"/>
        </w:rPr>
        <w:t>:</w:t>
      </w:r>
      <w:r w:rsidR="0013289B" w:rsidRPr="00E14687">
        <w:t xml:space="preserve"> </w:t>
      </w:r>
      <w:r w:rsidR="00E14687" w:rsidRPr="00E14687">
        <w:t>https://ezamowienia.gov.pl/mp-client/tenders/ocds-148610-1846afe6-180c-46ed-a3c1-71f7327c11c9</w:t>
      </w:r>
    </w:p>
    <w:p w14:paraId="285800BF" w14:textId="711FE4D0"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E14687" w:rsidRPr="00E14687">
        <w:rPr>
          <w:rFonts w:ascii="Times New Roman" w:hAnsi="Times New Roman" w:cs="Times New Roman"/>
        </w:rPr>
        <w:t>ocds-148610-1846afe6-180c-46ed-a3c1-71f7327c11c9</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0D25CAA6"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osiągniętych 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67E0C81B"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F331CB">
        <w:rPr>
          <w:bCs/>
          <w:sz w:val="24"/>
          <w:szCs w:val="24"/>
        </w:rPr>
        <w:t>2</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552ADDF2"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062E86">
        <w:rPr>
          <w:rFonts w:ascii="Times New Roman" w:hAnsi="Times New Roman"/>
          <w:b/>
          <w:bCs/>
          <w:color w:val="FF0000"/>
          <w:sz w:val="24"/>
          <w:szCs w:val="24"/>
        </w:rPr>
        <w:t>16</w:t>
      </w:r>
      <w:r w:rsidRPr="00564A06">
        <w:rPr>
          <w:rFonts w:ascii="Times New Roman" w:hAnsi="Times New Roman"/>
          <w:b/>
          <w:bCs/>
          <w:color w:val="FF0000"/>
          <w:sz w:val="24"/>
          <w:szCs w:val="24"/>
        </w:rPr>
        <w:t>.</w:t>
      </w:r>
      <w:r w:rsidR="00F331C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331C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 9:00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3FB381E1"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062E86">
        <w:rPr>
          <w:rFonts w:ascii="Times New Roman" w:hAnsi="Times New Roman"/>
          <w:b/>
          <w:color w:val="FF0000"/>
          <w:sz w:val="24"/>
          <w:szCs w:val="24"/>
        </w:rPr>
        <w:t>16</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w:t>
      </w:r>
      <w:r w:rsidR="00F331CB" w:rsidRPr="00564A06">
        <w:rPr>
          <w:rFonts w:ascii="Times New Roman" w:hAnsi="Times New Roman"/>
          <w:b/>
          <w:bCs/>
          <w:color w:val="FF0000"/>
          <w:sz w:val="24"/>
          <w:szCs w:val="24"/>
        </w:rPr>
        <w:t xml:space="preserve"> </w:t>
      </w:r>
      <w:r w:rsidRPr="00564A06">
        <w:rPr>
          <w:rFonts w:ascii="Times New Roman" w:hAnsi="Times New Roman"/>
          <w:b/>
          <w:bCs/>
          <w:color w:val="FF0000"/>
          <w:sz w:val="24"/>
          <w:szCs w:val="24"/>
        </w:rPr>
        <w:t>9:00</w:t>
      </w:r>
    </w:p>
    <w:p w14:paraId="0B8E0EAD" w14:textId="41337A5F"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062E86">
        <w:rPr>
          <w:rFonts w:ascii="Times New Roman" w:hAnsi="Times New Roman"/>
          <w:b/>
          <w:bCs/>
          <w:color w:val="FF0000"/>
          <w:sz w:val="24"/>
          <w:szCs w:val="24"/>
        </w:rPr>
        <w:t>16</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godz.9:15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4D5CCD1F"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564A06">
        <w:rPr>
          <w:rFonts w:ascii="Times New Roman" w:hAnsi="Times New Roman"/>
          <w:b/>
          <w:color w:val="FF0000"/>
          <w:sz w:val="24"/>
          <w:szCs w:val="24"/>
        </w:rPr>
        <w:t xml:space="preserve">dnia </w:t>
      </w:r>
      <w:r w:rsidR="00062E86">
        <w:rPr>
          <w:rFonts w:ascii="Times New Roman" w:hAnsi="Times New Roman"/>
          <w:b/>
          <w:color w:val="FF0000"/>
          <w:sz w:val="24"/>
          <w:szCs w:val="24"/>
        </w:rPr>
        <w:t>15</w:t>
      </w:r>
      <w:r w:rsidRPr="00564A06">
        <w:rPr>
          <w:rFonts w:ascii="Times New Roman" w:hAnsi="Times New Roman"/>
          <w:b/>
          <w:color w:val="FF0000"/>
          <w:sz w:val="24"/>
          <w:szCs w:val="24"/>
        </w:rPr>
        <w:t>.</w:t>
      </w:r>
      <w:r w:rsidR="008424B6" w:rsidRPr="00564A06">
        <w:rPr>
          <w:rFonts w:ascii="Times New Roman" w:hAnsi="Times New Roman"/>
          <w:b/>
          <w:color w:val="FF0000"/>
          <w:sz w:val="24"/>
          <w:szCs w:val="24"/>
        </w:rPr>
        <w:t>0</w:t>
      </w:r>
      <w:r w:rsidR="00EE5196">
        <w:rPr>
          <w:rFonts w:ascii="Times New Roman" w:hAnsi="Times New Roman"/>
          <w:b/>
          <w:color w:val="FF0000"/>
          <w:sz w:val="24"/>
          <w:szCs w:val="24"/>
        </w:rPr>
        <w:t>5</w:t>
      </w:r>
      <w:r w:rsidRPr="00564A06">
        <w:rPr>
          <w:rFonts w:ascii="Times New Roman" w:hAnsi="Times New Roman"/>
          <w:b/>
          <w:color w:val="FF0000"/>
          <w:sz w:val="24"/>
          <w:szCs w:val="24"/>
        </w:rPr>
        <w:t>.202</w:t>
      </w:r>
      <w:r w:rsidR="008424B6" w:rsidRPr="00564A06">
        <w:rPr>
          <w:rFonts w:ascii="Times New Roman" w:hAnsi="Times New Roman"/>
          <w:b/>
          <w:color w:val="FF0000"/>
          <w:sz w:val="24"/>
          <w:szCs w:val="24"/>
        </w:rPr>
        <w:t>5</w:t>
      </w:r>
      <w:r w:rsidRPr="00564A06">
        <w:rPr>
          <w:rFonts w:ascii="Times New Roman" w:hAnsi="Times New Roman"/>
          <w:b/>
          <w:color w:val="FF0000"/>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09A9B0ED"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w:t>
      </w:r>
      <w:proofErr w:type="spellStart"/>
      <w:r w:rsidRPr="00813385">
        <w:rPr>
          <w:i/>
          <w:iCs/>
        </w:rPr>
        <w:t>RODO”,</w:t>
      </w:r>
      <w:r w:rsidRPr="00813385">
        <w:rPr>
          <w:b/>
        </w:rPr>
        <w:t>Zamawiający</w:t>
      </w:r>
      <w:proofErr w:type="spellEnd"/>
      <w:r w:rsidRPr="00813385">
        <w:rPr>
          <w:b/>
        </w:rPr>
        <w:t xml:space="preserve">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60A5C" w14:textId="77777777" w:rsidR="009B1075" w:rsidRDefault="009B1075">
      <w:r>
        <w:separator/>
      </w:r>
    </w:p>
  </w:endnote>
  <w:endnote w:type="continuationSeparator" w:id="0">
    <w:p w14:paraId="094D4300" w14:textId="77777777" w:rsidR="009B1075" w:rsidRDefault="009B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95AB0" w14:textId="77777777" w:rsidR="009B1075" w:rsidRDefault="009B1075">
      <w:r>
        <w:separator/>
      </w:r>
    </w:p>
  </w:footnote>
  <w:footnote w:type="continuationSeparator" w:id="0">
    <w:p w14:paraId="7367D748" w14:textId="77777777" w:rsidR="009B1075" w:rsidRDefault="009B1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26C61"/>
    <w:rsid w:val="00034174"/>
    <w:rsid w:val="00037C64"/>
    <w:rsid w:val="00044174"/>
    <w:rsid w:val="0005547A"/>
    <w:rsid w:val="00056846"/>
    <w:rsid w:val="00060B32"/>
    <w:rsid w:val="00061DA4"/>
    <w:rsid w:val="00062E86"/>
    <w:rsid w:val="00073BE0"/>
    <w:rsid w:val="0008450F"/>
    <w:rsid w:val="000A5D4D"/>
    <w:rsid w:val="000B528A"/>
    <w:rsid w:val="000B5752"/>
    <w:rsid w:val="000C0BB5"/>
    <w:rsid w:val="000C28A5"/>
    <w:rsid w:val="000C28CD"/>
    <w:rsid w:val="000C72A1"/>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D42"/>
    <w:rsid w:val="001D356B"/>
    <w:rsid w:val="001E0DA9"/>
    <w:rsid w:val="001E1B1C"/>
    <w:rsid w:val="001E1C35"/>
    <w:rsid w:val="001E3FFB"/>
    <w:rsid w:val="001F0F7D"/>
    <w:rsid w:val="001F2B13"/>
    <w:rsid w:val="001F4418"/>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C74F8"/>
    <w:rsid w:val="003E082C"/>
    <w:rsid w:val="003E10E9"/>
    <w:rsid w:val="003E2C95"/>
    <w:rsid w:val="004118CB"/>
    <w:rsid w:val="00422D87"/>
    <w:rsid w:val="00433E8E"/>
    <w:rsid w:val="004370A0"/>
    <w:rsid w:val="0046037B"/>
    <w:rsid w:val="0046339D"/>
    <w:rsid w:val="00471379"/>
    <w:rsid w:val="00476000"/>
    <w:rsid w:val="00480F05"/>
    <w:rsid w:val="00487B40"/>
    <w:rsid w:val="00490F26"/>
    <w:rsid w:val="0049550D"/>
    <w:rsid w:val="004A36DB"/>
    <w:rsid w:val="004B1E95"/>
    <w:rsid w:val="004B5930"/>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64A06"/>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971C1"/>
    <w:rsid w:val="007A110F"/>
    <w:rsid w:val="007A4EA0"/>
    <w:rsid w:val="007A7B96"/>
    <w:rsid w:val="007B1BAE"/>
    <w:rsid w:val="007B65FC"/>
    <w:rsid w:val="007D2C58"/>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B67B2"/>
    <w:rsid w:val="008D0F19"/>
    <w:rsid w:val="008D29C5"/>
    <w:rsid w:val="008E2B87"/>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1075"/>
    <w:rsid w:val="009B5426"/>
    <w:rsid w:val="009C57B2"/>
    <w:rsid w:val="009E601D"/>
    <w:rsid w:val="009F2A8D"/>
    <w:rsid w:val="009F5432"/>
    <w:rsid w:val="00A058F0"/>
    <w:rsid w:val="00A145AB"/>
    <w:rsid w:val="00A15E14"/>
    <w:rsid w:val="00A16841"/>
    <w:rsid w:val="00A202A0"/>
    <w:rsid w:val="00A254E9"/>
    <w:rsid w:val="00A3020B"/>
    <w:rsid w:val="00A364F0"/>
    <w:rsid w:val="00A37812"/>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410D"/>
    <w:rsid w:val="00BE59DF"/>
    <w:rsid w:val="00BF1C12"/>
    <w:rsid w:val="00BF500B"/>
    <w:rsid w:val="00C00857"/>
    <w:rsid w:val="00C00C30"/>
    <w:rsid w:val="00C05A7D"/>
    <w:rsid w:val="00C17484"/>
    <w:rsid w:val="00C22C3E"/>
    <w:rsid w:val="00C24C49"/>
    <w:rsid w:val="00C2746D"/>
    <w:rsid w:val="00C32A4B"/>
    <w:rsid w:val="00C3491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E5196"/>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11045</Words>
  <Characters>66274</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2025-03-10T08:10:00Z</cp:lastPrinted>
  <dcterms:created xsi:type="dcterms:W3CDTF">2025-04-08T11:47:00Z</dcterms:created>
  <dcterms:modified xsi:type="dcterms:W3CDTF">2025-04-08T11:47:00Z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